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2007/423 vom 5. November 2008</w:t>
      </w:r>
    </w:p>
    <w:p>
      <w:r>
        <w:t>Sg Versicherungsgericht, 2008-11-05, DE</w:t>
      </w:r>
    </w:p>
    <w:p>
      <w:r>
        <w:rPr>
          <w:b/>
        </w:rPr>
        <w:t xml:space="preserve">Quelle: </w:t>
      </w:r>
      <w:r>
        <w:t>https://mcp.opencaselaw.ch/entscheid/sg_publikationen_IV 2007_423</w:t>
      </w:r>
    </w:p>
    <w:p>
      <w:r>
        <w:t>FR: SG_VERSICHERUNGSGERICHT IV 2007/423 du 5 novembre 2008</w:t>
      </w:r>
    </w:p>
    <w:p>
      <w:r>
        <w:t>IT: SG_VERSICHERUNGSGERICHT IV 2007/423 del 5 novembre 2008</w:t>
      </w:r>
    </w:p>
    <w:p>
      <w:pPr>
        <w:pStyle w:val="Heading2"/>
      </w:pPr>
      <w:r>
        <w:t>Regeste</w:t>
      </w:r>
    </w:p>
    <w:p>
      <w:r>
        <w:t>Art. 28 aIVG (in der bis 31. Dezember 2007 gültigen Fassung). Invaliditätsbemessung. Aufgrund erheblicher Anhaltspunkte für eine gesundheitliche Verschlechterung bis zum Verfügungserlass ist die Sache zu weiteren medizinischen Abklärungen zurückzuweisen (Entscheid des Versicherungsgerichts des Kantons St. Gallen vom 5. November 2008, IV 2007/423).</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Vorliegend ist die Frage streitig, ob der Beschwerdeführer einen Anspruch auf Rentenleistungen hat. 2.1  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2.2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2.3  Was Berichte von Hausärzten angeht, darf und soll die Erfahrungstatsache mitberücksichtigt werden, dass Hausärzte mitunter aufgrund ihrer auftragsrechtlichen Vertrauensstellung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i.S. M., I 514/06, E. 2.2.1 mit Hinweisen).</w:t>
      </w:r>
    </w:p>
    <w:p>
      <w:r>
        <w:rPr>
          <w:b/>
        </w:rPr>
        <w:t>E. 3</w:t>
      </w:r>
    </w:p>
    <w:p>
      <w:r>
        <w:t>Die Beschwerdegegnerin stützte sich zur Beurteilung der dem Beschwerdeführer verbliebenen Resterwerbsfähigkeit in der angefochtenen Verfügung auf das rheumatologische Gutachten vom 15. August 2006 (act. G 6.1/23.1 ff.), das Ergänzungsschreiben von Dr. med. C.___ vom 5. September 2006 (act. G 6.1/29.3) und das psychiatrische Gutachten vom 4. März 2007 (act. G 6.1/44.1 ff.). Der Beschwerdeführer macht geltend, dass aufgrund seines verschlechterten Gesundheitszustandes nicht auf die gutachterliche Beurteilung abgestellt werden könne. Ferner bestünden erhebliche Mängel an den gutachterlichen Einschätzungen (act. G 3 und 8). Zu prüfen ist daher die Frage, ob konkrete Indizien bestehen, die ernsthafte Zweifel an der durch die Gutachter vorgenommenen Beurteilung entstehen lassen. 3.1  Insofern der Beschwerdeführer vorbringt, sein Gesundheitszustand habe sich seit den Begutachtungen verschlechtert, ist – wie die Beschwerdegegnerin zutreffend ausführt – die Entwicklung des Gesundheitszustandes bis zum Datum des Verfügungserlasses (2. Oktober 2007; act. G 6.1/75) massgebend (vgl. Urteil des EVG vom 28. August 2003 i.S. M., I 596/02, E. 1). 3.1.1 Dr. med. B.___ gab im Verlaufsbericht vom 3. Juli 2007 an, dass sich der Gesundheitszustand sowie die Leistungsfähigkeit des Beschwerdeführers erheblich verschlechtert hätten. Dieser leide an ausgeprägtesten Schmerzen in sämtlichen Gelenken, vornehmlich links mit deutlicher Überwärmung aller genannten Gelenke. Zur aktuellen Beurteilung der Arbeitsfähigkeit empfahl der behandelnde Arzt eine erneute Begutachtung (act. G 6.1/57). Er bestätigte am 8. Juni 2007 gegenüber den Mitarbeitern des E.___, dass zusätzlich Arthritis und Rheuma diagnostiziert worden sei (act. G 6.1/73.13). Aus dem Bericht der behandelnden Rheumatologen des KSSG vom 14. Juni 2007 geht im Vergleich zur rheumatologischen Begutachtung – wo ein negatives Ergebnis beim Lasègue-Test ermittelt wurde (act. G 6.1/23.4) – eine Verschlechterung des Gesundheitszustandes insoweit hervor, dass sie das Ergebnis beim Lasègue-Test als "positiv ab 40°" beschrieben (act. G 6.1/57.18; vgl. auch act. G 57.24). Im Bericht vom 13. August 2007 bezeichneten sie den Verlauf des Gesundheitszustandes als "nicht absehbar" und erhoben u.a. den - bislang von den involvierten Ärzten nicht festgestellten - Befund einer "Fingersteifigkeit" (act. G 6.1/70.5). Aufgrund dieser medizinischen Aktenlage bestehen erhebliche Anhaltspunkte für eine seit der rheumatologischen Begutachtung eingetretene Verschlechterung des Gesundheitszustandes und der Leistungsfähigkeit. 3.1.2 Auch aus dem rheumatologischen Gutachten vom 15. August 2006 – das 14 Monate vor Verfügungserlass erstellt wurde – geht hervor, dass der Gesundheitszustand nicht stabil sei. So berichtete Dr. med. C.___, dass die Restarbeitsfähigkeit nicht beurteilt werden könne, "da noch zu viele Fragen offen sind, namentlich der weitere Verlauf vom Morbus Behçet" (act. G 6.1/23.5). Zur Evaluation der Leistungsfähigkeit empfahl er einen Rehabilitationsaufenthalt in der Klinik Valens (act. G 6.1/23.6). Ferner bezeichnete er die Prognose als ungünstig, und zwar nicht nur bezüglich der Fibromyalgie, sondern auch wegen des intermittierenden lumboradikulären Syndroms S1 rechts und möglicherweise wegen eines leichten cervicoradikulären Syndroms links (act. G 6.1/23.5). 3.1.3 Die involvierten Mitarbeiter des E.___ äusserten sich ebenfalls dahingehend, dass der gesundheitliche Verlauf und der Verlauf der Arbeitsfähigkeit negativ seien (act. G 6.1/73.15). Wie die Beschwerdegegnerin zu Recht vorbringt, handelt es sich aber hierbei nicht um eine medizinische Einschätzung, was den Beweiswert der gemachten Aussage grundsätzlich schmälert. Trotzdem darf und soll die fragliche Einschätzung in die Gesamtwürdigung einbezogen werden, zumal das E.___ von der Beschwerdegegnerin ausdrücklich mit der Beurteilung der Arbeitsfähigkeit beauftragt (act. G 6.1/40.1) und die Einschätzung vom behandelnden Arzt geteilt wurde (act. G 6.1/73.16). 3.1.4 Zwar vertrat der RAD-Arzt, Dr. H.___, in seiner kurzen Stellungnahme vom 2. August 2007 die Auffassung, der Gesundheitszustand sei unverändert. Seine Beurteilung erfolgte aber nicht in einer fassbaren Gesamtwürdigung aller medizinischen Akten. Vor allem lagen ihm offenbar der Bericht des KSSG vom 14. Juni 2007, in dem rheumatologische Veränderungen festgehalten sind, nicht vor. Zum späteren Bericht des KSSG vom 13. August 2007 äusserte sich der RAD-Arzt nicht explizit (act. G 6.1/70.5 f.). Er setzt sich auch nicht mit den festgestellten Befundveränderungen (Fingersteifigkeit, positiver Lasègue-Test, ausgeprägteste Schmerzen in sämtlichen Gelenken, vornehmlich links mit deutlicher Überwärmung aller genannten Gelenke; vgl. vorstehende E. 3.1.1) auseinander. 3.2  Insgesamt ergeben sich aus den Akten erhebliche Hinweise für eine Zunahme der Beschwerden und der Arbeitsunfähigkeit seit der rheumatologischen Begutachtung. Es liegen aber keine medizinischen Berichte bei den Akten, die über die Entwicklung des Gesundheitszustandes und der Arbeitsfähigkeit Aufschluss geben könnten. Da die bestehenden Unterlagen eine schlüssige und abschliessende Beurteilung der Arbeitsfähigkeit in einer zumutbaren Verweisungstätigkeit und somit des Invaliditätsgrades nicht erlauben, ist die Sache an die Beschwerdegegnerin zurückzuweisen, damit sie die Entwicklung der Beschwerden und der Arbeitsfähigkeit fachärztlich abklären lässt. Festzuhalten ist weiter, dass es beim Zusammenwirken von physischen und psychischen Beeinträchtigungen grundsätzlich nicht gerechtfertigt ist, die somatischen und psychischen Befunde isoliert zu betrachten (Urteil des Bundesgerichts vom 9. Januar 2007 i.S. B., I 33/06, E. 6.3 mit Hinweis), wie dies im bisherigen Verwaltungsverfahren getan wurde. Die Beschwerdegegnerin hat daher eine interdisziplinäre Begutachtung zu veranlassen. Diese hat sich zum psychischen und physischen Gesundheitszustand, zu seinen Auswirkungen auf die Arbeitsfähigkeit im angestammten Beruf und in einer zumutbaren Verweisungstätigkeit sowie zur Entwicklung der gesundheitlichen Situation und Restarbeitsfähigkeit zu äussern. Da es bei den weiteren Abklärungen u.a. um die Beurteilung des Gesundheitsverlaufes geht, erscheint es zweckmässig die rheumatologische Teilbegutachtung durch den mit dem Fall vertrauten Dr. med. C.___ vornehmen zu lassen. Gestützt auf die noch vorzunehmenden Abklärungen wird die Beschwerdegegnerin über den Leistungsanspruch neu zu befinden haben. Vor diesem Hintergrund können die Fragen, ob gestützt auf das Schreiben von Dr. med. C.___ vom 5. September 2006 (act. G 6.1/29.3) von einer 60%igen bzw. 80 bis 100%igen Arbeitsfähigkeit in leidensadaptierten Tätigkeiten auszugehen und ob die Berechnung des Invaliditätsgrades durch die Beschwerdegegnerin namentlich hinsichtlich des sogenannten Leidensabzuges zutreffend ist, offen gelassen werden.</w:t>
      </w:r>
    </w:p>
    <w:p>
      <w:r>
        <w:rPr>
          <w:b/>
        </w:rPr>
        <w:t>E. 4</w:t>
      </w:r>
    </w:p>
    <w:p>
      <w:r>
        <w:t>4.1  Nach dem Gesagten ist in teilweiser Gutheissung der Beschwerde die Verfügung vom 2. Oktober 2007 aufzuheben, und die Sache ist zur Anordnung ergänzender Abklärungen im Sinne der Erwägungen und zu entsprechender neuer Verfügung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127 V 234 E. 2b/bb in fine). Somit unterliegt die Beschwerdegegnerin vollumfänglich. Sie hat deshalb die gesamte Gerichtsgebühr von Fr. 600.-- zu bezahlen. Der geleistete Kostenvorschuss des Beschwerdeführers von Fr. 600.-- wird ihm zurückerstattet. 4.3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Rechtsvertreter des Beschwerdeführers verzichtete auf die Einreichung einer Kostennote.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Beschwerde wird die Verfügung vom 2. Oktober 2007 aufgehoben und die Sache wird zur weiteren Abklärung und zur neuen Verfügung im Sinne der Erwägungen an die Beschwerdegegnerin zurückgewiesen. 2.  Die Beschwerdegegnerin hat eine Gerichtsgebühr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